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仿宋" w:hAnsi="仿宋" w:eastAsia="仿宋" w:cs="Times New Roman"/>
          <w:b/>
          <w:sz w:val="44"/>
          <w:szCs w:val="44"/>
        </w:rPr>
      </w:pPr>
      <w:r>
        <w:rPr>
          <w:rFonts w:ascii="仿宋" w:hAnsi="仿宋" w:eastAsia="仿宋" w:cs="Times New Roman"/>
          <w:b/>
          <w:sz w:val="44"/>
          <w:szCs w:val="44"/>
        </w:rPr>
        <w:t>2017年计算机与控制工程学院</w:t>
      </w:r>
    </w:p>
    <w:p>
      <w:pPr>
        <w:jc w:val="center"/>
        <w:rPr>
          <w:rFonts w:ascii="仿宋" w:hAnsi="仿宋" w:eastAsia="仿宋" w:cs="Times New Roman"/>
          <w:b/>
          <w:sz w:val="44"/>
          <w:szCs w:val="44"/>
        </w:rPr>
      </w:pPr>
      <w:r>
        <w:rPr>
          <w:rFonts w:ascii="仿宋" w:hAnsi="仿宋" w:eastAsia="仿宋" w:cs="Times New Roman"/>
          <w:b/>
          <w:sz w:val="44"/>
          <w:szCs w:val="44"/>
        </w:rPr>
        <w:t>转专业</w:t>
      </w:r>
      <w:r>
        <w:rPr>
          <w:rFonts w:hint="eastAsia" w:ascii="仿宋" w:hAnsi="仿宋" w:eastAsia="仿宋" w:cs="Times New Roman"/>
          <w:b/>
          <w:sz w:val="44"/>
          <w:szCs w:val="44"/>
        </w:rPr>
        <w:t>接收计划及</w:t>
      </w:r>
      <w:r>
        <w:rPr>
          <w:rFonts w:ascii="仿宋" w:hAnsi="仿宋" w:eastAsia="仿宋" w:cs="Times New Roman"/>
          <w:b/>
          <w:sz w:val="44"/>
          <w:szCs w:val="44"/>
        </w:rPr>
        <w:t>细则</w:t>
      </w:r>
    </w:p>
    <w:p>
      <w:pPr>
        <w:rPr>
          <w:rFonts w:ascii="仿宋_GB2312" w:eastAsia="仿宋_GB2312"/>
          <w:sz w:val="24"/>
          <w:szCs w:val="24"/>
        </w:rPr>
      </w:pPr>
      <w:r>
        <w:rPr>
          <w:rFonts w:hint="eastAsia" w:ascii="仿宋_GB2312" w:eastAsia="仿宋_GB2312"/>
          <w:sz w:val="24"/>
          <w:szCs w:val="24"/>
        </w:rPr>
        <w:t>一、接收计划：</w:t>
      </w:r>
    </w:p>
    <w:tbl>
      <w:tblPr>
        <w:tblStyle w:val="5"/>
        <w:tblW w:w="87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93"/>
        <w:gridCol w:w="1653"/>
        <w:gridCol w:w="1701"/>
        <w:gridCol w:w="326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93" w:type="dxa"/>
          </w:tcPr>
          <w:p>
            <w:pPr>
              <w:spacing w:line="360" w:lineRule="auto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接收专业</w:t>
            </w:r>
          </w:p>
        </w:tc>
        <w:tc>
          <w:tcPr>
            <w:tcW w:w="1653" w:type="dxa"/>
          </w:tcPr>
          <w:p>
            <w:pPr>
              <w:spacing w:line="360" w:lineRule="auto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接收年级</w:t>
            </w:r>
          </w:p>
        </w:tc>
        <w:tc>
          <w:tcPr>
            <w:tcW w:w="1701" w:type="dxa"/>
          </w:tcPr>
          <w:p>
            <w:pPr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接收转入人数</w:t>
            </w:r>
          </w:p>
        </w:tc>
        <w:tc>
          <w:tcPr>
            <w:tcW w:w="3261" w:type="dxa"/>
          </w:tcPr>
          <w:p>
            <w:pPr>
              <w:spacing w:line="360" w:lineRule="auto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接收转入基本条件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93" w:type="dxa"/>
          </w:tcPr>
          <w:p>
            <w:pPr>
              <w:snapToGrid w:val="0"/>
              <w:rPr>
                <w:rFonts w:ascii="仿宋_GB2312" w:eastAsia="仿宋_GB2312"/>
                <w:szCs w:val="24"/>
              </w:rPr>
            </w:pPr>
            <w:r>
              <w:rPr>
                <w:rFonts w:hint="eastAsia" w:ascii="仿宋_GB2312" w:eastAsia="仿宋_GB2312"/>
                <w:szCs w:val="24"/>
              </w:rPr>
              <w:t>计算机/信息安全、法学双学位/物联网/自动化/智能科学与技术</w:t>
            </w:r>
          </w:p>
        </w:tc>
        <w:tc>
          <w:tcPr>
            <w:tcW w:w="1653" w:type="dxa"/>
          </w:tcPr>
          <w:p>
            <w:pPr>
              <w:snapToGrid w:val="0"/>
              <w:rPr>
                <w:rFonts w:ascii="仿宋_GB2312" w:eastAsia="仿宋_GB2312"/>
                <w:szCs w:val="24"/>
              </w:rPr>
            </w:pPr>
            <w:r>
              <w:rPr>
                <w:rFonts w:hint="eastAsia" w:ascii="仿宋_GB2312" w:eastAsia="仿宋_GB2312"/>
                <w:szCs w:val="24"/>
              </w:rPr>
              <w:t>2015</w:t>
            </w:r>
          </w:p>
        </w:tc>
        <w:tc>
          <w:tcPr>
            <w:tcW w:w="1701" w:type="dxa"/>
          </w:tcPr>
          <w:p>
            <w:pPr>
              <w:snapToGrid w:val="0"/>
              <w:rPr>
                <w:rFonts w:ascii="仿宋_GB2312" w:eastAsia="仿宋_GB2312"/>
                <w:szCs w:val="24"/>
              </w:rPr>
            </w:pPr>
            <w:r>
              <w:rPr>
                <w:rFonts w:hint="eastAsia" w:ascii="仿宋_GB2312" w:eastAsia="仿宋_GB2312"/>
                <w:szCs w:val="24"/>
              </w:rPr>
              <w:t>2</w:t>
            </w:r>
            <w:r>
              <w:rPr>
                <w:rFonts w:ascii="仿宋_GB2312" w:eastAsia="仿宋_GB2312"/>
                <w:szCs w:val="24"/>
              </w:rPr>
              <w:t>0/10/</w:t>
            </w:r>
            <w:bookmarkStart w:id="2" w:name="_GoBack"/>
            <w:bookmarkEnd w:id="2"/>
            <w:r>
              <w:rPr>
                <w:rFonts w:hint="eastAsia" w:ascii="仿宋_GB2312" w:eastAsia="仿宋_GB2312"/>
                <w:szCs w:val="24"/>
                <w:lang w:val="en-US" w:eastAsia="zh-CN"/>
              </w:rPr>
              <w:t>5</w:t>
            </w:r>
            <w:r>
              <w:rPr>
                <w:rFonts w:ascii="仿宋_GB2312" w:eastAsia="仿宋_GB2312"/>
                <w:szCs w:val="24"/>
              </w:rPr>
              <w:t>/10/</w:t>
            </w:r>
            <w:r>
              <w:rPr>
                <w:rFonts w:hint="eastAsia" w:ascii="仿宋_GB2312" w:eastAsia="仿宋_GB2312"/>
                <w:szCs w:val="24"/>
                <w:lang w:val="en-US" w:eastAsia="zh-CN"/>
              </w:rPr>
              <w:t>10</w:t>
            </w:r>
          </w:p>
        </w:tc>
        <w:tc>
          <w:tcPr>
            <w:tcW w:w="3261" w:type="dxa"/>
          </w:tcPr>
          <w:p>
            <w:pPr>
              <w:snapToGrid w:val="0"/>
              <w:rPr>
                <w:rFonts w:ascii="仿宋_GB2312" w:eastAsia="仿宋_GB2312"/>
                <w:szCs w:val="24"/>
              </w:rPr>
            </w:pPr>
            <w:r>
              <w:rPr>
                <w:rFonts w:hint="eastAsia" w:ascii="仿宋_GB2312" w:eastAsia="仿宋_GB2312"/>
                <w:szCs w:val="24"/>
              </w:rPr>
              <w:t>见二、（三）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93" w:type="dxa"/>
          </w:tcPr>
          <w:p>
            <w:pPr>
              <w:snapToGrid w:val="0"/>
              <w:rPr>
                <w:rFonts w:ascii="仿宋_GB2312" w:eastAsia="仿宋_GB2312"/>
                <w:szCs w:val="24"/>
              </w:rPr>
            </w:pPr>
            <w:r>
              <w:rPr>
                <w:rFonts w:hint="eastAsia" w:ascii="仿宋_GB2312" w:eastAsia="仿宋_GB2312"/>
                <w:szCs w:val="24"/>
              </w:rPr>
              <w:t>计算机类/信息安全、法学双学位/自动化类</w:t>
            </w:r>
          </w:p>
        </w:tc>
        <w:tc>
          <w:tcPr>
            <w:tcW w:w="1653" w:type="dxa"/>
          </w:tcPr>
          <w:p>
            <w:pPr>
              <w:snapToGrid w:val="0"/>
              <w:rPr>
                <w:rFonts w:ascii="仿宋_GB2312" w:eastAsia="仿宋_GB2312"/>
                <w:szCs w:val="24"/>
              </w:rPr>
            </w:pPr>
            <w:r>
              <w:rPr>
                <w:rFonts w:hint="eastAsia" w:ascii="仿宋_GB2312" w:eastAsia="仿宋_GB2312"/>
                <w:szCs w:val="24"/>
              </w:rPr>
              <w:t>2016</w:t>
            </w:r>
          </w:p>
        </w:tc>
        <w:tc>
          <w:tcPr>
            <w:tcW w:w="1701" w:type="dxa"/>
          </w:tcPr>
          <w:p>
            <w:pPr>
              <w:snapToGrid w:val="0"/>
              <w:rPr>
                <w:rFonts w:ascii="仿宋_GB2312" w:eastAsia="仿宋_GB2312"/>
                <w:szCs w:val="24"/>
              </w:rPr>
            </w:pPr>
            <w:r>
              <w:rPr>
                <w:rFonts w:hint="eastAsia" w:ascii="仿宋_GB2312" w:eastAsia="仿宋_GB2312"/>
                <w:szCs w:val="24"/>
              </w:rPr>
              <w:t>35/11/22</w:t>
            </w:r>
          </w:p>
        </w:tc>
        <w:tc>
          <w:tcPr>
            <w:tcW w:w="3261" w:type="dxa"/>
          </w:tcPr>
          <w:p>
            <w:pPr>
              <w:snapToGrid w:val="0"/>
              <w:rPr>
                <w:rFonts w:ascii="仿宋_GB2312" w:eastAsia="仿宋_GB2312"/>
                <w:szCs w:val="24"/>
              </w:rPr>
            </w:pPr>
            <w:r>
              <w:rPr>
                <w:rFonts w:hint="eastAsia" w:ascii="仿宋_GB2312" w:eastAsia="仿宋_GB2312"/>
                <w:szCs w:val="24"/>
              </w:rPr>
              <w:t>见二、（三）</w:t>
            </w:r>
          </w:p>
        </w:tc>
      </w:tr>
    </w:tbl>
    <w:p>
      <w:pPr>
        <w:rPr>
          <w:rFonts w:ascii="仿宋_GB2312" w:eastAsia="仿宋_GB2312"/>
          <w:sz w:val="24"/>
          <w:szCs w:val="24"/>
        </w:rPr>
      </w:pPr>
      <w:r>
        <w:rPr>
          <w:rFonts w:hint="eastAsia" w:ascii="仿宋_GB2312" w:eastAsia="仿宋_GB2312"/>
          <w:sz w:val="24"/>
          <w:szCs w:val="24"/>
        </w:rPr>
        <w:t>二、转专业工作细则：</w:t>
      </w:r>
    </w:p>
    <w:p>
      <w:pPr>
        <w:rPr>
          <w:rFonts w:ascii="仿宋_GB2312" w:eastAsia="仿宋_GB2312"/>
          <w:sz w:val="24"/>
          <w:szCs w:val="24"/>
        </w:rPr>
      </w:pPr>
      <w:r>
        <w:rPr>
          <w:rFonts w:hint="eastAsia" w:ascii="仿宋_GB2312" w:eastAsia="仿宋_GB2312"/>
          <w:sz w:val="24"/>
          <w:szCs w:val="24"/>
        </w:rPr>
        <w:t>（一）</w:t>
      </w:r>
      <w:bookmarkStart w:id="0" w:name="OLE_LINK7"/>
      <w:bookmarkStart w:id="1" w:name="OLE_LINK6"/>
      <w:r>
        <w:rPr>
          <w:rFonts w:hint="eastAsia" w:ascii="仿宋_GB2312" w:eastAsia="仿宋_GB2312"/>
          <w:sz w:val="24"/>
          <w:szCs w:val="24"/>
        </w:rPr>
        <w:t>本院2015级学生转出条件及转出选拔方式</w:t>
      </w:r>
      <w:bookmarkEnd w:id="0"/>
      <w:bookmarkEnd w:id="1"/>
    </w:p>
    <w:p>
      <w:pPr>
        <w:rPr>
          <w:rFonts w:ascii="仿宋_GB2312" w:eastAsia="仿宋_GB2312"/>
          <w:sz w:val="24"/>
          <w:szCs w:val="24"/>
        </w:rPr>
      </w:pPr>
      <w:r>
        <w:rPr>
          <w:rFonts w:hint="eastAsia" w:ascii="仿宋_GB2312" w:eastAsia="仿宋_GB2312"/>
          <w:sz w:val="24"/>
          <w:szCs w:val="24"/>
        </w:rPr>
        <w:t>1、转出名额：</w:t>
      </w:r>
    </w:p>
    <w:tbl>
      <w:tblPr>
        <w:tblStyle w:val="6"/>
        <w:tblW w:w="7345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1"/>
        <w:gridCol w:w="1298"/>
        <w:gridCol w:w="1224"/>
        <w:gridCol w:w="1224"/>
        <w:gridCol w:w="1273"/>
        <w:gridCol w:w="122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01" w:type="dxa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298" w:type="dxa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计算机科学与技术</w:t>
            </w:r>
          </w:p>
        </w:tc>
        <w:tc>
          <w:tcPr>
            <w:tcW w:w="1224" w:type="dxa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自动化</w:t>
            </w:r>
          </w:p>
        </w:tc>
        <w:tc>
          <w:tcPr>
            <w:tcW w:w="1224" w:type="dxa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智能科学与技术</w:t>
            </w:r>
          </w:p>
        </w:tc>
        <w:tc>
          <w:tcPr>
            <w:tcW w:w="1273" w:type="dxa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信息安全、法学双学位</w:t>
            </w:r>
          </w:p>
        </w:tc>
        <w:tc>
          <w:tcPr>
            <w:tcW w:w="1225" w:type="dxa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物联网工程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01" w:type="dxa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/>
                <w:sz w:val="24"/>
                <w:szCs w:val="24"/>
              </w:rPr>
              <w:t>2015</w:t>
            </w:r>
            <w:r>
              <w:rPr>
                <w:rFonts w:hint="eastAsia" w:ascii="仿宋_GB2312" w:eastAsia="仿宋_GB2312"/>
                <w:sz w:val="24"/>
                <w:szCs w:val="24"/>
              </w:rPr>
              <w:t>级</w:t>
            </w:r>
          </w:p>
        </w:tc>
        <w:tc>
          <w:tcPr>
            <w:tcW w:w="1298" w:type="dxa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4</w:t>
            </w:r>
          </w:p>
        </w:tc>
        <w:tc>
          <w:tcPr>
            <w:tcW w:w="1224" w:type="dxa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2</w:t>
            </w:r>
          </w:p>
        </w:tc>
        <w:tc>
          <w:tcPr>
            <w:tcW w:w="1224" w:type="dxa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2</w:t>
            </w:r>
          </w:p>
        </w:tc>
        <w:tc>
          <w:tcPr>
            <w:tcW w:w="1273" w:type="dxa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2</w:t>
            </w:r>
          </w:p>
        </w:tc>
        <w:tc>
          <w:tcPr>
            <w:tcW w:w="1225" w:type="dxa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1</w:t>
            </w:r>
          </w:p>
        </w:tc>
      </w:tr>
    </w:tbl>
    <w:p>
      <w:pPr>
        <w:rPr>
          <w:rFonts w:ascii="仿宋_GB2312" w:eastAsia="仿宋_GB2312"/>
          <w:sz w:val="24"/>
          <w:szCs w:val="24"/>
        </w:rPr>
      </w:pPr>
      <w:r>
        <w:rPr>
          <w:rFonts w:hint="eastAsia" w:ascii="仿宋_GB2312" w:eastAsia="仿宋_GB2312"/>
          <w:sz w:val="24"/>
          <w:szCs w:val="24"/>
        </w:rPr>
        <w:t>2、转出条件：符合学校关于转专业的规定。</w:t>
      </w:r>
    </w:p>
    <w:p>
      <w:pPr>
        <w:rPr>
          <w:rFonts w:ascii="仿宋_GB2312" w:eastAsia="仿宋_GB2312"/>
          <w:sz w:val="24"/>
          <w:szCs w:val="24"/>
        </w:rPr>
      </w:pPr>
      <w:r>
        <w:rPr>
          <w:rFonts w:hint="eastAsia" w:ascii="仿宋_GB2312" w:eastAsia="仿宋_GB2312"/>
          <w:sz w:val="24"/>
          <w:szCs w:val="24"/>
        </w:rPr>
        <w:t>3、转出选拔方式：</w:t>
      </w:r>
    </w:p>
    <w:p>
      <w:pPr>
        <w:ind w:left="360"/>
        <w:rPr>
          <w:rFonts w:ascii="仿宋_GB2312" w:eastAsia="仿宋_GB2312"/>
          <w:sz w:val="24"/>
          <w:szCs w:val="24"/>
        </w:rPr>
      </w:pPr>
      <w:r>
        <w:rPr>
          <w:rFonts w:hint="eastAsia" w:ascii="仿宋_GB2312" w:eastAsia="仿宋_GB2312"/>
          <w:sz w:val="24"/>
          <w:szCs w:val="24"/>
        </w:rPr>
        <w:t>如果申请转出的学生人数超过该专业转出名额，则排序按照以下从a)到b)的先后顺序：</w:t>
      </w:r>
    </w:p>
    <w:p>
      <w:pPr>
        <w:numPr>
          <w:ilvl w:val="1"/>
          <w:numId w:val="1"/>
        </w:numPr>
        <w:rPr>
          <w:rFonts w:ascii="仿宋_GB2312" w:eastAsia="仿宋_GB2312"/>
          <w:sz w:val="24"/>
          <w:szCs w:val="24"/>
        </w:rPr>
      </w:pPr>
      <w:r>
        <w:rPr>
          <w:rFonts w:hint="eastAsia" w:ascii="仿宋_GB2312" w:eastAsia="仿宋_GB2312"/>
          <w:sz w:val="24"/>
          <w:szCs w:val="24"/>
        </w:rPr>
        <w:t>所修必修课（A，B，C三类课程，下面的必修课都是同一含义，不再说明）有不及格者优先；如果满足条件的有多人，则不及格课程学分累计多者优先，不及格课程学分累计相同者以必修课课程学分绩低者优先。</w:t>
      </w:r>
    </w:p>
    <w:p>
      <w:pPr>
        <w:numPr>
          <w:ilvl w:val="1"/>
          <w:numId w:val="1"/>
        </w:numPr>
        <w:rPr>
          <w:rFonts w:ascii="仿宋_GB2312" w:eastAsia="仿宋_GB2312"/>
          <w:sz w:val="24"/>
          <w:szCs w:val="24"/>
        </w:rPr>
      </w:pPr>
      <w:r>
        <w:rPr>
          <w:rFonts w:hint="eastAsia" w:ascii="仿宋_GB2312" w:eastAsia="仿宋_GB2312"/>
          <w:sz w:val="24"/>
          <w:szCs w:val="24"/>
        </w:rPr>
        <w:t>所修必修课全部及格者，按照必修课学分绩排名由高到低选择，即学分绩高者优先。</w:t>
      </w:r>
    </w:p>
    <w:p>
      <w:pPr>
        <w:rPr>
          <w:rFonts w:ascii="仿宋_GB2312" w:eastAsia="仿宋_GB2312"/>
          <w:sz w:val="24"/>
          <w:szCs w:val="24"/>
        </w:rPr>
      </w:pPr>
      <w:r>
        <w:rPr>
          <w:rFonts w:hint="eastAsia" w:ascii="仿宋_GB2312" w:eastAsia="仿宋_GB2312"/>
          <w:sz w:val="24"/>
          <w:szCs w:val="24"/>
        </w:rPr>
        <w:t>（二）本院2016级学生转出条件及转出选拔方式</w:t>
      </w:r>
    </w:p>
    <w:p>
      <w:pPr>
        <w:ind w:firstLine="420"/>
        <w:rPr>
          <w:rFonts w:ascii="仿宋_GB2312" w:eastAsia="仿宋_GB2312"/>
          <w:sz w:val="24"/>
          <w:szCs w:val="24"/>
        </w:rPr>
      </w:pPr>
      <w:r>
        <w:rPr>
          <w:rFonts w:hint="eastAsia" w:ascii="仿宋_GB2312" w:eastAsia="仿宋_GB2312"/>
          <w:sz w:val="24"/>
          <w:szCs w:val="24"/>
        </w:rPr>
        <w:t>按学校关于转专业的规定执行。</w:t>
      </w:r>
    </w:p>
    <w:p>
      <w:pPr>
        <w:pStyle w:val="9"/>
        <w:numPr>
          <w:ilvl w:val="0"/>
          <w:numId w:val="2"/>
        </w:numPr>
        <w:ind w:firstLineChars="0"/>
        <w:rPr>
          <w:rFonts w:ascii="仿宋_GB2312" w:eastAsia="仿宋_GB2312"/>
          <w:sz w:val="24"/>
          <w:szCs w:val="24"/>
        </w:rPr>
      </w:pPr>
      <w:r>
        <w:rPr>
          <w:rFonts w:hint="eastAsia" w:ascii="仿宋_GB2312" w:eastAsia="仿宋_GB2312"/>
          <w:sz w:val="24"/>
          <w:szCs w:val="24"/>
        </w:rPr>
        <w:t>本院转入条件及转入选拔方式</w:t>
      </w:r>
    </w:p>
    <w:p>
      <w:pPr>
        <w:pStyle w:val="9"/>
        <w:numPr>
          <w:ilvl w:val="0"/>
          <w:numId w:val="3"/>
        </w:numPr>
        <w:adjustRightInd w:val="0"/>
        <w:snapToGrid w:val="0"/>
        <w:ind w:firstLineChars="0"/>
        <w:rPr>
          <w:rFonts w:ascii="仿宋_GB2312" w:eastAsia="仿宋_GB2312"/>
          <w:sz w:val="24"/>
          <w:szCs w:val="24"/>
        </w:rPr>
      </w:pPr>
      <w:r>
        <w:rPr>
          <w:rFonts w:hint="eastAsia" w:ascii="仿宋_GB2312" w:eastAsia="仿宋_GB2312"/>
          <w:sz w:val="24"/>
          <w:szCs w:val="24"/>
        </w:rPr>
        <w:t>符合学校关于转专业的规定。</w:t>
      </w:r>
    </w:p>
    <w:p>
      <w:pPr>
        <w:numPr>
          <w:ilvl w:val="0"/>
          <w:numId w:val="3"/>
        </w:numPr>
        <w:adjustRightInd w:val="0"/>
        <w:snapToGrid w:val="0"/>
        <w:rPr>
          <w:rFonts w:ascii="仿宋_GB2312" w:eastAsia="仿宋_GB2312"/>
          <w:sz w:val="24"/>
          <w:szCs w:val="24"/>
        </w:rPr>
      </w:pPr>
      <w:r>
        <w:rPr>
          <w:rFonts w:hint="eastAsia" w:ascii="仿宋_GB2312" w:eastAsia="仿宋_GB2312"/>
          <w:sz w:val="24"/>
          <w:szCs w:val="24"/>
        </w:rPr>
        <w:t>学生所修必修课程（A，B，C三类课程）成绩全部合格，不含重修合格。2015级学生还要求在原专业必修课学分绩年级排名前60%。</w:t>
      </w:r>
    </w:p>
    <w:p>
      <w:pPr>
        <w:numPr>
          <w:ilvl w:val="0"/>
          <w:numId w:val="3"/>
        </w:numPr>
        <w:adjustRightInd w:val="0"/>
        <w:snapToGrid w:val="0"/>
        <w:rPr>
          <w:rFonts w:ascii="仿宋_GB2312" w:eastAsia="仿宋_GB2312"/>
          <w:sz w:val="24"/>
          <w:szCs w:val="24"/>
        </w:rPr>
      </w:pPr>
      <w:r>
        <w:rPr>
          <w:rFonts w:hint="eastAsia" w:ascii="仿宋_GB2312" w:eastAsia="仿宋_GB2312"/>
          <w:sz w:val="24"/>
          <w:szCs w:val="24"/>
        </w:rPr>
        <w:t>本院对申请转入的学生组织面试，面试小组根据学生的学习态度、学习基础、培养潜力、转专业原因的合理性、对转入专业未来学习的规划等方面的情况给出面试成绩（百分制）。低于60分者为不合格，不予接收。若合格人数超过接收名额，则按面试成绩排序，成绩高者优先接收。</w:t>
      </w:r>
    </w:p>
    <w:p>
      <w:pPr>
        <w:rPr>
          <w:rFonts w:ascii="仿宋_GB2312" w:eastAsia="仿宋_GB2312"/>
          <w:sz w:val="24"/>
          <w:szCs w:val="24"/>
        </w:rPr>
      </w:pPr>
      <w:r>
        <w:rPr>
          <w:rFonts w:hint="eastAsia" w:ascii="仿宋_GB2312" w:eastAsia="仿宋_GB2312"/>
          <w:sz w:val="24"/>
          <w:szCs w:val="24"/>
        </w:rPr>
        <w:t>三、</w:t>
      </w:r>
      <w:r>
        <w:rPr>
          <w:rFonts w:ascii="仿宋_GB2312" w:eastAsia="仿宋_GB2312"/>
          <w:sz w:val="24"/>
          <w:szCs w:val="24"/>
        </w:rPr>
        <w:t>本细则由</w:t>
      </w:r>
      <w:r>
        <w:rPr>
          <w:rFonts w:hint="eastAsia" w:ascii="仿宋_GB2312" w:eastAsia="仿宋_GB2312"/>
          <w:sz w:val="24"/>
          <w:szCs w:val="24"/>
        </w:rPr>
        <w:t>计算机与控制工程学院</w:t>
      </w:r>
      <w:r>
        <w:rPr>
          <w:rFonts w:ascii="仿宋_GB2312" w:eastAsia="仿宋_GB2312"/>
          <w:sz w:val="24"/>
          <w:szCs w:val="24"/>
        </w:rPr>
        <w:t>负责解释</w:t>
      </w:r>
      <w:r>
        <w:rPr>
          <w:rFonts w:hint="eastAsia" w:ascii="仿宋_GB2312" w:eastAsia="仿宋_GB2312"/>
          <w:sz w:val="24"/>
          <w:szCs w:val="24"/>
        </w:rPr>
        <w:t>。</w:t>
      </w:r>
    </w:p>
    <w:p>
      <w:pPr>
        <w:jc w:val="right"/>
        <w:rPr>
          <w:rFonts w:ascii="仿宋_GB2312" w:eastAsia="仿宋_GB2312"/>
          <w:sz w:val="24"/>
          <w:szCs w:val="24"/>
        </w:rPr>
      </w:pPr>
    </w:p>
    <w:p>
      <w:pPr>
        <w:jc w:val="right"/>
        <w:rPr>
          <w:rFonts w:ascii="仿宋_GB2312" w:eastAsia="仿宋_GB2312"/>
          <w:sz w:val="24"/>
          <w:szCs w:val="24"/>
        </w:rPr>
      </w:pPr>
    </w:p>
    <w:p>
      <w:pPr>
        <w:jc w:val="right"/>
        <w:rPr>
          <w:rFonts w:ascii="仿宋_GB2312" w:eastAsia="仿宋_GB2312"/>
          <w:sz w:val="24"/>
          <w:szCs w:val="24"/>
        </w:rPr>
      </w:pPr>
      <w:r>
        <w:rPr>
          <w:rFonts w:hint="eastAsia" w:ascii="仿宋_GB2312" w:eastAsia="仿宋_GB2312"/>
          <w:sz w:val="24"/>
          <w:szCs w:val="24"/>
        </w:rPr>
        <w:t>计算机与控制工程学院</w:t>
      </w:r>
    </w:p>
    <w:p>
      <w:pPr>
        <w:jc w:val="right"/>
        <w:rPr>
          <w:rFonts w:ascii="仿宋_GB2312" w:eastAsia="仿宋_GB2312"/>
          <w:sz w:val="24"/>
          <w:szCs w:val="24"/>
        </w:rPr>
      </w:pPr>
      <w:r>
        <w:rPr>
          <w:rFonts w:hint="eastAsia" w:ascii="仿宋_GB2312" w:eastAsia="仿宋_GB2312"/>
          <w:sz w:val="24"/>
          <w:szCs w:val="24"/>
        </w:rPr>
        <w:t>2017.3.24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8A7E20"/>
    <w:multiLevelType w:val="multilevel"/>
    <w:tmpl w:val="208A7E20"/>
    <w:lvl w:ilvl="0" w:tentative="0">
      <w:start w:val="1"/>
      <w:numFmt w:val="decimal"/>
      <w:lvlText w:val="(%1)"/>
      <w:lvlJc w:val="left"/>
      <w:pPr>
        <w:tabs>
          <w:tab w:val="left" w:pos="360"/>
        </w:tabs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1">
    <w:nsid w:val="354F58F4"/>
    <w:multiLevelType w:val="multilevel"/>
    <w:tmpl w:val="354F58F4"/>
    <w:lvl w:ilvl="0" w:tentative="0">
      <w:start w:val="3"/>
      <w:numFmt w:val="japaneseCounting"/>
      <w:lvlText w:val="（%1）"/>
      <w:lvlJc w:val="left"/>
      <w:pPr>
        <w:ind w:left="72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5D735A64"/>
    <w:multiLevelType w:val="multilevel"/>
    <w:tmpl w:val="5D735A64"/>
    <w:lvl w:ilvl="0" w:tentative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2D6E"/>
    <w:rsid w:val="00053737"/>
    <w:rsid w:val="00064E10"/>
    <w:rsid w:val="000F44C4"/>
    <w:rsid w:val="00103001"/>
    <w:rsid w:val="00164B74"/>
    <w:rsid w:val="001C7016"/>
    <w:rsid w:val="00213004"/>
    <w:rsid w:val="00220845"/>
    <w:rsid w:val="00225E4D"/>
    <w:rsid w:val="00236350"/>
    <w:rsid w:val="00253836"/>
    <w:rsid w:val="00263411"/>
    <w:rsid w:val="002A1AE2"/>
    <w:rsid w:val="002A459B"/>
    <w:rsid w:val="002C6367"/>
    <w:rsid w:val="002E5872"/>
    <w:rsid w:val="003C0C7E"/>
    <w:rsid w:val="003F4DAE"/>
    <w:rsid w:val="003F5652"/>
    <w:rsid w:val="004A6600"/>
    <w:rsid w:val="004C4958"/>
    <w:rsid w:val="004C728B"/>
    <w:rsid w:val="004E7B73"/>
    <w:rsid w:val="00576473"/>
    <w:rsid w:val="005D1EE4"/>
    <w:rsid w:val="005E46D7"/>
    <w:rsid w:val="00653544"/>
    <w:rsid w:val="006538AD"/>
    <w:rsid w:val="006A49E6"/>
    <w:rsid w:val="006E655D"/>
    <w:rsid w:val="00723F61"/>
    <w:rsid w:val="007317D3"/>
    <w:rsid w:val="007B3B63"/>
    <w:rsid w:val="00825FA9"/>
    <w:rsid w:val="00835CC1"/>
    <w:rsid w:val="00884363"/>
    <w:rsid w:val="008C502C"/>
    <w:rsid w:val="008F7C27"/>
    <w:rsid w:val="00947548"/>
    <w:rsid w:val="0095010B"/>
    <w:rsid w:val="00955DFD"/>
    <w:rsid w:val="00974431"/>
    <w:rsid w:val="00A63B17"/>
    <w:rsid w:val="00B0061D"/>
    <w:rsid w:val="00B10B4E"/>
    <w:rsid w:val="00B1312B"/>
    <w:rsid w:val="00B94743"/>
    <w:rsid w:val="00BD7BD5"/>
    <w:rsid w:val="00C70221"/>
    <w:rsid w:val="00C910FE"/>
    <w:rsid w:val="00CC247A"/>
    <w:rsid w:val="00CD2848"/>
    <w:rsid w:val="00CE178B"/>
    <w:rsid w:val="00CF5F6A"/>
    <w:rsid w:val="00D21601"/>
    <w:rsid w:val="00D22D6E"/>
    <w:rsid w:val="00D2440A"/>
    <w:rsid w:val="00D37247"/>
    <w:rsid w:val="00D56916"/>
    <w:rsid w:val="00D66F14"/>
    <w:rsid w:val="00D80337"/>
    <w:rsid w:val="00DD3930"/>
    <w:rsid w:val="00DE5F93"/>
    <w:rsid w:val="00E36241"/>
    <w:rsid w:val="00FC0518"/>
    <w:rsid w:val="468206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customStyle="1" w:styleId="7">
    <w:name w:val="页眉 Char"/>
    <w:basedOn w:val="4"/>
    <w:link w:val="3"/>
    <w:uiPriority w:val="99"/>
    <w:rPr>
      <w:sz w:val="18"/>
      <w:szCs w:val="18"/>
    </w:rPr>
  </w:style>
  <w:style w:type="character" w:customStyle="1" w:styleId="8">
    <w:name w:val="页脚 Char"/>
    <w:basedOn w:val="4"/>
    <w:link w:val="2"/>
    <w:uiPriority w:val="99"/>
    <w:rPr>
      <w:sz w:val="18"/>
      <w:szCs w:val="18"/>
    </w:rPr>
  </w:style>
  <w:style w:type="paragraph" w:customStyle="1" w:styleId="9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114</Words>
  <Characters>655</Characters>
  <Lines>5</Lines>
  <Paragraphs>1</Paragraphs>
  <TotalTime>0</TotalTime>
  <ScaleCrop>false</ScaleCrop>
  <LinksUpToDate>false</LinksUpToDate>
  <CharactersWithSpaces>768</CharactersWithSpaces>
  <Application>WPS Office_10.1.0.6382_F1E327BC-269C-435d-A152-05C5408002CA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2015-04-13T09:05:00Z</dcterms:created>
  <dc:creator>哈哈</dc:creator>
  <cp:lastModifiedBy>Administrator</cp:lastModifiedBy>
  <dcterms:modified xsi:type="dcterms:W3CDTF">2017-04-13T10:20:18Z</dcterms:modified>
  <cp:revision>50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2052-10.1.0.6382</vt:lpwstr>
  </property>
</Properties>
</file>