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r>
        <w:rPr>
          <w:rFonts w:hint="eastAsia"/>
        </w:rPr>
        <w:t>外国语学院本科生转专业工作细则</w:t>
      </w:r>
    </w:p>
    <w:p>
      <w:pPr>
        <w:ind w:firstLine="640" w:firstLineChars="200"/>
        <w:jc w:val="left"/>
        <w:rPr>
          <w:rFonts w:ascii="仿宋" w:hAnsi="仿宋" w:eastAsia="仿宋"/>
          <w:sz w:val="32"/>
          <w:szCs w:val="32"/>
        </w:rPr>
      </w:pPr>
    </w:p>
    <w:p>
      <w:pPr>
        <w:pStyle w:val="16"/>
      </w:pPr>
      <w:r>
        <w:rPr>
          <w:rFonts w:hint="eastAsia"/>
        </w:rPr>
        <w:t>根据教务处《关于制定本科生转专业细则的通知》（教通字[</w:t>
      </w:r>
      <w:r>
        <w:t>2019</w:t>
      </w:r>
      <w:r>
        <w:rPr>
          <w:rFonts w:hint="eastAsia"/>
        </w:rPr>
        <w:t>]</w:t>
      </w:r>
      <w:r>
        <w:t>52</w:t>
      </w:r>
      <w:r>
        <w:rPr>
          <w:rFonts w:hint="eastAsia"/>
        </w:rPr>
        <w:t>号）精神，外国语学院以公平、公正、公开为原则，以提高学院人才培养质量为前提，兼顾学生的专业兴趣和个性化发展需要，制定《外国语学院本科生转专业工作细则》</w:t>
      </w:r>
      <w:r>
        <w:rPr>
          <w:rFonts w:hint="eastAsia"/>
          <w:lang w:eastAsia="zh-CN"/>
        </w:rPr>
        <w:t>。</w:t>
      </w:r>
      <w:r>
        <w:rPr>
          <w:rFonts w:hint="eastAsia"/>
          <w:lang w:val="en-US" w:eastAsia="zh-CN"/>
        </w:rPr>
        <w:t>详细内容</w:t>
      </w:r>
      <w:r>
        <w:rPr>
          <w:rFonts w:hint="eastAsia"/>
        </w:rPr>
        <w:t xml:space="preserve">如下。 </w:t>
      </w:r>
    </w:p>
    <w:p>
      <w:pPr>
        <w:pStyle w:val="15"/>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仿宋_GB2312" w:eastAsia="仿宋_GB2312"/>
          <w:sz w:val="28"/>
        </w:rPr>
      </w:pPr>
      <w:r>
        <w:rPr>
          <w:rFonts w:hint="eastAsia"/>
        </w:rPr>
        <w:t>一、外国语学院本科生转专业工作领导小组</w:t>
      </w:r>
    </w:p>
    <w:p>
      <w:pPr>
        <w:autoSpaceDE w:val="0"/>
        <w:autoSpaceDN w:val="0"/>
        <w:adjustRightInd w:val="0"/>
        <w:ind w:firstLine="640" w:firstLineChars="200"/>
        <w:jc w:val="left"/>
        <w:rPr>
          <w:rFonts w:ascii="仿宋" w:hAnsi="仿宋" w:eastAsia="仿宋" w:cs="仿宋"/>
          <w:kern w:val="0"/>
          <w:sz w:val="32"/>
          <w:szCs w:val="32"/>
        </w:rPr>
      </w:pPr>
      <w:r>
        <w:rPr>
          <w:rFonts w:hint="eastAsia" w:ascii="仿宋" w:hAnsi="仿宋" w:eastAsia="仿宋"/>
          <w:sz w:val="32"/>
          <w:szCs w:val="32"/>
        </w:rPr>
        <w:t>外国语学院成立转专业工作领导小组，</w:t>
      </w:r>
      <w:r>
        <w:rPr>
          <w:rFonts w:hint="eastAsia" w:ascii="仿宋" w:hAnsi="仿宋" w:eastAsia="仿宋" w:cs="仿宋"/>
          <w:kern w:val="0"/>
          <w:sz w:val="32"/>
          <w:szCs w:val="32"/>
        </w:rPr>
        <w:t>全面负责本学院的转专业工作。转专业工作小组成员如下：</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组长：阎国栋</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副组长：王凯</w:t>
      </w:r>
    </w:p>
    <w:p>
      <w:pPr>
        <w:autoSpaceDE w:val="0"/>
        <w:autoSpaceDN w:val="0"/>
        <w:adjustRightInd w:val="0"/>
        <w:ind w:firstLine="640" w:firstLineChars="200"/>
        <w:jc w:val="left"/>
      </w:pPr>
      <w:r>
        <w:rPr>
          <w:rFonts w:hint="eastAsia" w:ascii="仿宋" w:hAnsi="仿宋" w:eastAsia="仿宋"/>
          <w:sz w:val="32"/>
          <w:szCs w:val="32"/>
        </w:rPr>
        <w:t>成员：回春萍，赵春梅，王新新，刘吉平，刘冠龙，张强，谷佳维，胡婧，杨琳，窦天娇。</w:t>
      </w:r>
    </w:p>
    <w:p>
      <w:pPr>
        <w:pStyle w:val="15"/>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仿宋" w:hAnsi="仿宋" w:eastAsia="仿宋"/>
          <w:sz w:val="28"/>
          <w:szCs w:val="28"/>
        </w:rPr>
      </w:pPr>
      <w:r>
        <w:rPr>
          <w:rFonts w:hint="eastAsia"/>
        </w:rPr>
        <w:t>二、转出申请条件</w:t>
      </w:r>
      <w:r>
        <w:rPr>
          <w:rFonts w:hint="eastAsia" w:ascii="仿宋" w:hAnsi="仿宋" w:eastAsia="仿宋"/>
          <w:sz w:val="28"/>
          <w:szCs w:val="28"/>
        </w:rPr>
        <w:t xml:space="preserve"> </w:t>
      </w:r>
    </w:p>
    <w:p>
      <w:pPr>
        <w:autoSpaceDE w:val="0"/>
        <w:autoSpaceDN w:val="0"/>
        <w:adjustRightInd w:val="0"/>
        <w:spacing w:line="360" w:lineRule="auto"/>
        <w:ind w:firstLine="640" w:firstLineChars="200"/>
        <w:jc w:val="left"/>
      </w:pPr>
      <w:r>
        <w:rPr>
          <w:rFonts w:hint="eastAsia" w:ascii="仿宋" w:hAnsi="仿宋" w:eastAsia="仿宋" w:cs="仿宋"/>
          <w:color w:val="auto"/>
          <w:kern w:val="0"/>
          <w:sz w:val="32"/>
          <w:szCs w:val="32"/>
          <w:lang w:val="en-US" w:eastAsia="zh-CN"/>
        </w:rPr>
        <w:t>除了</w:t>
      </w:r>
      <w:r>
        <w:rPr>
          <w:rFonts w:hint="eastAsia" w:ascii="仿宋" w:hAnsi="仿宋" w:eastAsia="仿宋" w:cs="仿宋"/>
          <w:color w:val="auto"/>
          <w:kern w:val="0"/>
          <w:sz w:val="32"/>
          <w:szCs w:val="32"/>
        </w:rPr>
        <w:t>《南开大学本科生转专业管理办法》规定的不允许转出的情况</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外语保送生生源学生不允许转出外国语言文学大类</w:t>
      </w:r>
      <w:r>
        <w:rPr>
          <w:rFonts w:hint="eastAsia" w:ascii="仿宋" w:hAnsi="仿宋" w:eastAsia="仿宋" w:cs="仿宋"/>
          <w:kern w:val="0"/>
          <w:sz w:val="32"/>
          <w:szCs w:val="32"/>
        </w:rPr>
        <w:t>。</w:t>
      </w:r>
    </w:p>
    <w:p>
      <w:pPr>
        <w:pStyle w:val="15"/>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仿宋_GB2312" w:eastAsia="仿宋_GB2312"/>
          <w:sz w:val="28"/>
        </w:rPr>
      </w:pPr>
      <w:r>
        <w:rPr>
          <w:rFonts w:hint="eastAsia"/>
        </w:rPr>
        <w:t>三、转入申请条件</w:t>
      </w:r>
    </w:p>
    <w:p>
      <w:pPr>
        <w:spacing w:line="360" w:lineRule="auto"/>
        <w:ind w:firstLine="640" w:firstLineChars="200"/>
      </w:pPr>
      <w:r>
        <w:rPr>
          <w:rFonts w:hint="eastAsia" w:ascii="仿宋" w:hAnsi="仿宋" w:eastAsia="仿宋"/>
          <w:color w:val="000000"/>
          <w:sz w:val="32"/>
          <w:szCs w:val="32"/>
        </w:rPr>
        <w:t>申请转入学生为2</w:t>
      </w:r>
      <w:r>
        <w:rPr>
          <w:rFonts w:ascii="仿宋" w:hAnsi="仿宋" w:eastAsia="仿宋"/>
          <w:color w:val="000000"/>
          <w:sz w:val="32"/>
          <w:szCs w:val="32"/>
        </w:rPr>
        <w:t>020</w:t>
      </w:r>
      <w:r>
        <w:rPr>
          <w:rFonts w:hint="eastAsia" w:ascii="仿宋" w:hAnsi="仿宋" w:eastAsia="仿宋"/>
          <w:color w:val="000000"/>
          <w:sz w:val="32"/>
          <w:szCs w:val="32"/>
        </w:rPr>
        <w:t>级本科生且各科成绩合格</w:t>
      </w:r>
      <w:r>
        <w:rPr>
          <w:rFonts w:hint="eastAsia" w:ascii="仿宋" w:hAnsi="仿宋" w:eastAsia="仿宋"/>
          <w:color w:val="auto"/>
          <w:sz w:val="32"/>
          <w:szCs w:val="32"/>
        </w:rPr>
        <w:t>（各科成绩达到60分及以上</w:t>
      </w:r>
      <w:r>
        <w:rPr>
          <w:rFonts w:hint="eastAsia" w:ascii="仿宋" w:hAnsi="仿宋" w:eastAsia="仿宋"/>
          <w:color w:val="auto"/>
          <w:sz w:val="32"/>
          <w:szCs w:val="32"/>
          <w:highlight w:val="none"/>
        </w:rPr>
        <w:t>，两</w:t>
      </w:r>
      <w:r>
        <w:rPr>
          <w:rFonts w:hint="eastAsia" w:ascii="仿宋" w:hAnsi="仿宋" w:eastAsia="仿宋"/>
          <w:color w:val="auto"/>
          <w:sz w:val="32"/>
          <w:szCs w:val="32"/>
          <w:highlight w:val="none"/>
          <w:lang w:val="en-US" w:eastAsia="zh-CN"/>
        </w:rPr>
        <w:t>级</w:t>
      </w:r>
      <w:r>
        <w:rPr>
          <w:rFonts w:hint="eastAsia" w:ascii="仿宋" w:hAnsi="仿宋" w:eastAsia="仿宋"/>
          <w:color w:val="auto"/>
          <w:sz w:val="32"/>
          <w:szCs w:val="32"/>
          <w:highlight w:val="none"/>
        </w:rPr>
        <w:t>制课程通过）</w:t>
      </w:r>
      <w:r>
        <w:rPr>
          <w:rFonts w:hint="eastAsia"/>
          <w:color w:val="auto"/>
          <w:sz w:val="24"/>
          <w:highlight w:val="none"/>
        </w:rPr>
        <w:t>。</w:t>
      </w:r>
    </w:p>
    <w:p>
      <w:pPr>
        <w:pStyle w:val="15"/>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r>
        <w:rPr>
          <w:rFonts w:hint="eastAsia"/>
        </w:rPr>
        <w:t>四、选拔操作流程</w:t>
      </w:r>
    </w:p>
    <w:p>
      <w:pPr>
        <w:numPr>
          <w:ilvl w:val="255"/>
          <w:numId w:val="0"/>
        </w:numPr>
        <w:spacing w:line="360" w:lineRule="auto"/>
        <w:ind w:firstLine="640" w:firstLineChars="200"/>
        <w:rPr>
          <w:rFonts w:ascii="仿宋" w:hAnsi="仿宋" w:eastAsia="仿宋"/>
          <w:color w:val="000000"/>
          <w:sz w:val="32"/>
          <w:szCs w:val="32"/>
        </w:rPr>
      </w:pPr>
      <w:r>
        <w:rPr>
          <w:rFonts w:hint="eastAsia" w:ascii="仿宋" w:hAnsi="仿宋" w:eastAsia="仿宋"/>
          <w:sz w:val="32"/>
          <w:szCs w:val="32"/>
        </w:rPr>
        <w:t>1.</w:t>
      </w:r>
      <w:r>
        <w:rPr>
          <w:rFonts w:hint="eastAsia" w:ascii="仿宋" w:hAnsi="仿宋" w:eastAsia="仿宋"/>
          <w:color w:val="000000"/>
          <w:sz w:val="32"/>
          <w:szCs w:val="32"/>
        </w:rPr>
        <w:t>初审：由外国语学院教学科研办公室根据转入申请条件，对申请转入学生的申请资格进行初步审核，并确定进入复试名单；</w:t>
      </w:r>
    </w:p>
    <w:p>
      <w:pPr>
        <w:numPr>
          <w:ilvl w:val="255"/>
          <w:numId w:val="0"/>
        </w:numPr>
        <w:spacing w:line="360" w:lineRule="auto"/>
        <w:ind w:firstLine="640" w:firstLineChars="200"/>
        <w:rPr>
          <w:rFonts w:ascii="仿宋" w:hAnsi="仿宋" w:eastAsia="仿宋"/>
          <w:color w:val="auto"/>
          <w:sz w:val="32"/>
          <w:szCs w:val="32"/>
        </w:rPr>
      </w:pPr>
      <w:r>
        <w:rPr>
          <w:rFonts w:hint="eastAsia" w:ascii="仿宋" w:hAnsi="仿宋" w:eastAsia="仿宋"/>
          <w:sz w:val="32"/>
          <w:szCs w:val="32"/>
        </w:rPr>
        <w:t>2.</w:t>
      </w:r>
      <w:r>
        <w:rPr>
          <w:rFonts w:hint="eastAsia" w:ascii="仿宋" w:hAnsi="仿宋" w:eastAsia="仿宋"/>
          <w:color w:val="000000"/>
          <w:sz w:val="32"/>
          <w:szCs w:val="32"/>
        </w:rPr>
        <w:t>复试：复试分为笔试和面试，由教学科研办公室及各专业组织考核，各专业以先笔试后面试的顺序考试。</w:t>
      </w:r>
      <w:r>
        <w:rPr>
          <w:rFonts w:hint="eastAsia" w:ascii="仿宋" w:hAnsi="仿宋" w:eastAsia="仿宋"/>
          <w:color w:val="auto"/>
          <w:sz w:val="32"/>
          <w:szCs w:val="32"/>
        </w:rPr>
        <w:t>考试科目为计划接收专业一年级下半学期的专业必修课和专业选修课各1门，具体科目由系里决定。每门科目的笔试满分为1</w:t>
      </w:r>
      <w:r>
        <w:rPr>
          <w:rFonts w:ascii="仿宋" w:hAnsi="仿宋" w:eastAsia="仿宋"/>
          <w:color w:val="auto"/>
          <w:sz w:val="32"/>
          <w:szCs w:val="32"/>
        </w:rPr>
        <w:t>00</w:t>
      </w:r>
      <w:r>
        <w:rPr>
          <w:rFonts w:hint="eastAsia" w:ascii="仿宋" w:hAnsi="仿宋" w:eastAsia="仿宋"/>
          <w:color w:val="auto"/>
          <w:sz w:val="32"/>
          <w:szCs w:val="32"/>
        </w:rPr>
        <w:t>分，时间为1</w:t>
      </w:r>
      <w:r>
        <w:rPr>
          <w:rFonts w:ascii="仿宋" w:hAnsi="仿宋" w:eastAsia="仿宋"/>
          <w:color w:val="auto"/>
          <w:sz w:val="32"/>
          <w:szCs w:val="32"/>
        </w:rPr>
        <w:t>0</w:t>
      </w:r>
      <w:r>
        <w:rPr>
          <w:rFonts w:hint="eastAsia" w:ascii="仿宋" w:hAnsi="仿宋" w:eastAsia="仿宋"/>
          <w:color w:val="auto"/>
          <w:sz w:val="32"/>
          <w:szCs w:val="32"/>
        </w:rPr>
        <w:t>0分钟；面试满分为1</w:t>
      </w:r>
      <w:r>
        <w:rPr>
          <w:rFonts w:ascii="仿宋" w:hAnsi="仿宋" w:eastAsia="仿宋"/>
          <w:color w:val="auto"/>
          <w:sz w:val="32"/>
          <w:szCs w:val="32"/>
        </w:rPr>
        <w:t>00</w:t>
      </w:r>
      <w:r>
        <w:rPr>
          <w:rFonts w:hint="eastAsia" w:ascii="仿宋" w:hAnsi="仿宋" w:eastAsia="仿宋"/>
          <w:color w:val="auto"/>
          <w:sz w:val="32"/>
          <w:szCs w:val="32"/>
        </w:rPr>
        <w:t>分，内容为各专业相应年级的口语综合水平测试，每人面试时间不少于20分钟。</w:t>
      </w:r>
    </w:p>
    <w:p>
      <w:pPr>
        <w:numPr>
          <w:ilvl w:val="255"/>
          <w:numId w:val="0"/>
        </w:numPr>
        <w:spacing w:line="360" w:lineRule="auto"/>
        <w:ind w:firstLine="640" w:firstLineChars="200"/>
        <w:rPr>
          <w:rFonts w:ascii="仿宋" w:hAnsi="仿宋" w:eastAsia="仿宋"/>
          <w:color w:val="FF0000"/>
          <w:sz w:val="32"/>
          <w:szCs w:val="32"/>
        </w:rPr>
      </w:pPr>
      <w:r>
        <w:rPr>
          <w:rFonts w:hint="eastAsia" w:ascii="仿宋" w:hAnsi="仿宋" w:eastAsia="仿宋"/>
          <w:sz w:val="32"/>
          <w:szCs w:val="32"/>
        </w:rPr>
        <w:t>3.</w:t>
      </w:r>
      <w:r>
        <w:rPr>
          <w:rFonts w:hint="eastAsia" w:ascii="仿宋" w:hAnsi="仿宋" w:eastAsia="仿宋"/>
          <w:color w:val="000000"/>
          <w:sz w:val="32"/>
          <w:szCs w:val="32"/>
        </w:rPr>
        <w:t>录</w:t>
      </w:r>
      <w:r>
        <w:rPr>
          <w:rFonts w:hint="eastAsia" w:ascii="仿宋" w:hAnsi="仿宋" w:eastAsia="仿宋"/>
          <w:sz w:val="32"/>
          <w:szCs w:val="32"/>
        </w:rPr>
        <w:t>取及公示：复试综合成绩=笔试成绩（70%）+面试成绩（30%），各专业按照综合成绩由高到低排序，根据接收计划，确定拟录取名单。如果计划内的学生综合成绩未达到良好（80分及以上），则不予接收。</w:t>
      </w:r>
    </w:p>
    <w:p>
      <w:pPr>
        <w:numPr>
          <w:ilvl w:val="255"/>
          <w:numId w:val="0"/>
        </w:numPr>
        <w:spacing w:line="360" w:lineRule="auto"/>
        <w:ind w:firstLine="640" w:firstLineChars="200"/>
        <w:rPr>
          <w:rFonts w:ascii="仿宋" w:hAnsi="仿宋" w:eastAsia="仿宋"/>
          <w:color w:val="000000"/>
          <w:sz w:val="32"/>
          <w:szCs w:val="32"/>
        </w:rPr>
      </w:pPr>
      <w:r>
        <w:rPr>
          <w:rFonts w:hint="eastAsia" w:ascii="仿宋" w:hAnsi="仿宋" w:eastAsia="仿宋"/>
          <w:sz w:val="32"/>
          <w:szCs w:val="32"/>
        </w:rPr>
        <w:t>4.转专业拟录取结果将在外国语学院主页公示3天。公示期间，学生对拟录取名单有争议者，</w:t>
      </w:r>
      <w:r>
        <w:rPr>
          <w:rFonts w:hint="eastAsia" w:ascii="仿宋" w:hAnsi="仿宋" w:eastAsia="仿宋"/>
          <w:color w:val="000000"/>
          <w:sz w:val="32"/>
          <w:szCs w:val="32"/>
        </w:rPr>
        <w:t>应书面向外国语学院转专业工作领导小组提出复核</w:t>
      </w:r>
      <w:r>
        <w:rPr>
          <w:rFonts w:hint="eastAsia" w:ascii="仿宋" w:hAnsi="仿宋" w:eastAsia="仿宋"/>
          <w:color w:val="000000"/>
          <w:sz w:val="32"/>
          <w:szCs w:val="32"/>
          <w:highlight w:val="none"/>
          <w:lang w:val="en-US" w:eastAsia="zh-CN"/>
        </w:rPr>
        <w:t>申请</w:t>
      </w:r>
      <w:r>
        <w:rPr>
          <w:rFonts w:hint="eastAsia" w:ascii="仿宋" w:hAnsi="仿宋" w:eastAsia="仿宋"/>
          <w:color w:val="000000"/>
          <w:sz w:val="32"/>
          <w:szCs w:val="32"/>
          <w:highlight w:val="none"/>
        </w:rPr>
        <w:t>。</w:t>
      </w:r>
    </w:p>
    <w:p>
      <w:pPr>
        <w:numPr>
          <w:ilvl w:val="255"/>
          <w:numId w:val="0"/>
        </w:numPr>
        <w:spacing w:line="360" w:lineRule="auto"/>
        <w:ind w:firstLine="640" w:firstLineChars="200"/>
        <w:rPr>
          <w:rFonts w:hint="eastAsia" w:ascii="仿宋" w:hAnsi="仿宋" w:eastAsia="仿宋"/>
          <w:color w:val="FF0000"/>
          <w:sz w:val="32"/>
          <w:szCs w:val="32"/>
        </w:rPr>
      </w:pPr>
      <w:r>
        <w:rPr>
          <w:rFonts w:hint="eastAsia" w:ascii="仿宋" w:hAnsi="仿宋" w:eastAsia="仿宋"/>
          <w:color w:val="FF0000"/>
          <w:sz w:val="32"/>
          <w:szCs w:val="32"/>
          <w:lang w:val="en-US" w:eastAsia="zh-CN"/>
        </w:rPr>
        <w:t>注：</w:t>
      </w:r>
      <w:r>
        <w:rPr>
          <w:rFonts w:hint="eastAsia" w:ascii="仿宋" w:hAnsi="仿宋" w:eastAsia="仿宋"/>
          <w:color w:val="FF0000"/>
          <w:sz w:val="32"/>
          <w:szCs w:val="32"/>
        </w:rPr>
        <w:t>根据非通用语专业的培养方案和人才培养规律，转入生须按照规定的课程顺序从一年级课程开始学习。</w:t>
      </w:r>
    </w:p>
    <w:p>
      <w:pPr>
        <w:pStyle w:val="15"/>
      </w:pPr>
    </w:p>
    <w:p>
      <w:pPr>
        <w:pStyle w:val="15"/>
      </w:pPr>
      <w:r>
        <w:rPr>
          <w:rFonts w:hint="eastAsia"/>
        </w:rPr>
        <w:t>五、细则解释权归属</w:t>
      </w:r>
    </w:p>
    <w:p>
      <w:pPr>
        <w:pStyle w:val="11"/>
        <w:spacing w:line="360" w:lineRule="auto"/>
        <w:ind w:firstLine="640"/>
        <w:rPr>
          <w:rFonts w:ascii="仿宋" w:hAnsi="仿宋" w:eastAsia="仿宋"/>
          <w:sz w:val="32"/>
          <w:szCs w:val="32"/>
        </w:rPr>
      </w:pPr>
      <w:r>
        <w:rPr>
          <w:rFonts w:hint="eastAsia" w:ascii="仿宋" w:hAnsi="仿宋" w:eastAsia="仿宋"/>
          <w:sz w:val="32"/>
          <w:szCs w:val="32"/>
        </w:rPr>
        <w:t>本细则最终解释权归外国语学院本科生转专业工作领导小组。</w:t>
      </w:r>
    </w:p>
    <w:p>
      <w:pPr>
        <w:spacing w:line="360" w:lineRule="auto"/>
        <w:ind w:firstLine="640" w:firstLineChars="200"/>
        <w:jc w:val="right"/>
        <w:rPr>
          <w:rFonts w:ascii="仿宋" w:hAnsi="仿宋" w:eastAsia="仿宋"/>
          <w:color w:val="000000"/>
          <w:sz w:val="32"/>
          <w:szCs w:val="32"/>
        </w:rPr>
      </w:pPr>
      <w:r>
        <w:rPr>
          <w:rFonts w:hint="eastAsia" w:ascii="仿宋" w:hAnsi="仿宋" w:eastAsia="仿宋"/>
          <w:color w:val="000000"/>
          <w:sz w:val="32"/>
          <w:szCs w:val="32"/>
        </w:rPr>
        <w:t>南开大学  外国语学院</w:t>
      </w:r>
    </w:p>
    <w:p>
      <w:pPr>
        <w:spacing w:line="360" w:lineRule="auto"/>
        <w:ind w:firstLine="640" w:firstLineChars="200"/>
        <w:jc w:val="right"/>
        <w:rPr>
          <w:rFonts w:ascii="方正小标宋简体" w:eastAsia="方正小标宋简体"/>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w:t>
      </w:r>
      <w:bookmarkStart w:id="0" w:name="_GoBack"/>
      <w:bookmarkEnd w:id="0"/>
      <w:r>
        <w:rPr>
          <w:rFonts w:hint="eastAsia" w:ascii="仿宋" w:hAnsi="仿宋" w:eastAsia="仿宋"/>
          <w:color w:val="000000"/>
          <w:sz w:val="32"/>
          <w:szCs w:val="32"/>
        </w:rPr>
        <w:t>月</w:t>
      </w:r>
      <w:r>
        <w:rPr>
          <w:rFonts w:ascii="仿宋" w:hAnsi="仿宋" w:eastAsia="仿宋"/>
          <w:color w:val="000000"/>
          <w:sz w:val="32"/>
          <w:szCs w:val="32"/>
        </w:rPr>
        <w:t>23</w:t>
      </w:r>
      <w:r>
        <w:rPr>
          <w:rFonts w:hint="eastAsia" w:ascii="仿宋" w:hAnsi="仿宋" w:eastAsia="仿宋"/>
          <w:color w:val="000000"/>
          <w:sz w:val="32"/>
          <w:szCs w:val="32"/>
        </w:rPr>
        <w:t>日</w:t>
      </w:r>
    </w:p>
    <w:sectPr>
      <w:footerReference r:id="rId3" w:type="default"/>
      <w:pgSz w:w="11906" w:h="16838"/>
      <w:pgMar w:top="1701"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950EAA3-72D3-47FE-B49B-B6446D4FAEC7}"/>
  </w:font>
  <w:font w:name="方正小标宋简体">
    <w:panose1 w:val="03000509000000000000"/>
    <w:charset w:val="86"/>
    <w:family w:val="script"/>
    <w:pitch w:val="default"/>
    <w:sig w:usb0="00000001" w:usb1="080E0000" w:usb2="00000000" w:usb3="00000000" w:csb0="00040000" w:csb1="00000000"/>
    <w:embedRegular r:id="rId2" w:fontKey="{0FD992C7-A1EF-4024-A260-E87DA50E245B}"/>
  </w:font>
  <w:font w:name="仿宋">
    <w:panose1 w:val="02010609060101010101"/>
    <w:charset w:val="86"/>
    <w:family w:val="modern"/>
    <w:pitch w:val="default"/>
    <w:sig w:usb0="800002BF" w:usb1="38CF7CFA" w:usb2="00000016" w:usb3="00000000" w:csb0="00040001" w:csb1="00000000"/>
    <w:embedRegular r:id="rId3" w:fontKey="{4AC646C2-B17A-482C-BFB4-C52174C53FFC}"/>
  </w:font>
  <w:font w:name="仿宋_GB2312">
    <w:panose1 w:val="02010609030101010101"/>
    <w:charset w:val="86"/>
    <w:family w:val="modern"/>
    <w:pitch w:val="default"/>
    <w:sig w:usb0="00000001" w:usb1="080E0000" w:usb2="00000000" w:usb3="00000000" w:csb0="00040000" w:csb1="00000000"/>
    <w:embedRegular r:id="rId4" w:fontKey="{A8251163-72E9-4B87-AD8C-6B57897380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tbuXfQAAAA&#10;AgEAAA8AAAAAAAAAAQAgAAAAIgAAAGRycy9kb3ducmV2LnhtbFBLAQIUABQAAAAIAIdO4kCkApKd&#10;7AEAALMDAAAOAAAAAAAAAAEAIAAAAB8BAABkcnMvZTJvRG9jLnhtbFBLBQYAAAAABgAGAFkBAAB9&#10;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04"/>
    <w:rsid w:val="000156EC"/>
    <w:rsid w:val="00036E08"/>
    <w:rsid w:val="00084342"/>
    <w:rsid w:val="000B5BD1"/>
    <w:rsid w:val="000D2464"/>
    <w:rsid w:val="0014361A"/>
    <w:rsid w:val="00147D46"/>
    <w:rsid w:val="00154CB0"/>
    <w:rsid w:val="00176C9C"/>
    <w:rsid w:val="001C41BC"/>
    <w:rsid w:val="001C4441"/>
    <w:rsid w:val="001E6A2F"/>
    <w:rsid w:val="00204361"/>
    <w:rsid w:val="0020798A"/>
    <w:rsid w:val="0021598F"/>
    <w:rsid w:val="0025172A"/>
    <w:rsid w:val="002820CB"/>
    <w:rsid w:val="00283BC1"/>
    <w:rsid w:val="00291D29"/>
    <w:rsid w:val="002A1732"/>
    <w:rsid w:val="002A33EE"/>
    <w:rsid w:val="002F1395"/>
    <w:rsid w:val="003218F1"/>
    <w:rsid w:val="003240DA"/>
    <w:rsid w:val="003B1BFA"/>
    <w:rsid w:val="003F1FAF"/>
    <w:rsid w:val="00442E55"/>
    <w:rsid w:val="00451594"/>
    <w:rsid w:val="004937AD"/>
    <w:rsid w:val="004D1B99"/>
    <w:rsid w:val="004F0A12"/>
    <w:rsid w:val="00515BA1"/>
    <w:rsid w:val="0054185F"/>
    <w:rsid w:val="00552E9A"/>
    <w:rsid w:val="00571DB5"/>
    <w:rsid w:val="00595257"/>
    <w:rsid w:val="005F58B9"/>
    <w:rsid w:val="006047B8"/>
    <w:rsid w:val="00630BDE"/>
    <w:rsid w:val="00644802"/>
    <w:rsid w:val="00694F10"/>
    <w:rsid w:val="00696605"/>
    <w:rsid w:val="00696AC1"/>
    <w:rsid w:val="00701B04"/>
    <w:rsid w:val="00714405"/>
    <w:rsid w:val="00717BDD"/>
    <w:rsid w:val="00723B0B"/>
    <w:rsid w:val="00760A1F"/>
    <w:rsid w:val="007A6270"/>
    <w:rsid w:val="00810CAB"/>
    <w:rsid w:val="00886DD5"/>
    <w:rsid w:val="008A6ACD"/>
    <w:rsid w:val="008B0DFB"/>
    <w:rsid w:val="008B6606"/>
    <w:rsid w:val="009259D1"/>
    <w:rsid w:val="00944C95"/>
    <w:rsid w:val="009602CB"/>
    <w:rsid w:val="009C7C53"/>
    <w:rsid w:val="009D2194"/>
    <w:rsid w:val="009E1FAA"/>
    <w:rsid w:val="009E4498"/>
    <w:rsid w:val="009F7AE7"/>
    <w:rsid w:val="00A26CB4"/>
    <w:rsid w:val="00A656CD"/>
    <w:rsid w:val="00A65CE2"/>
    <w:rsid w:val="00AB56B6"/>
    <w:rsid w:val="00B1012D"/>
    <w:rsid w:val="00B4334C"/>
    <w:rsid w:val="00BB39AB"/>
    <w:rsid w:val="00BB7BEC"/>
    <w:rsid w:val="00BC321A"/>
    <w:rsid w:val="00BF2706"/>
    <w:rsid w:val="00BF3331"/>
    <w:rsid w:val="00BF604D"/>
    <w:rsid w:val="00C740C6"/>
    <w:rsid w:val="00C752C8"/>
    <w:rsid w:val="00C76FE0"/>
    <w:rsid w:val="00C80C1B"/>
    <w:rsid w:val="00CC4ACC"/>
    <w:rsid w:val="00D073BA"/>
    <w:rsid w:val="00D550A4"/>
    <w:rsid w:val="00D80E27"/>
    <w:rsid w:val="00DA4225"/>
    <w:rsid w:val="00DC732F"/>
    <w:rsid w:val="00DD36E9"/>
    <w:rsid w:val="00DE22C8"/>
    <w:rsid w:val="00DE5B2D"/>
    <w:rsid w:val="00DE7E2A"/>
    <w:rsid w:val="00DF19B4"/>
    <w:rsid w:val="00DF2437"/>
    <w:rsid w:val="00DF3CD3"/>
    <w:rsid w:val="00E43404"/>
    <w:rsid w:val="00E74A4D"/>
    <w:rsid w:val="00EA6952"/>
    <w:rsid w:val="00EC21BE"/>
    <w:rsid w:val="00F05F22"/>
    <w:rsid w:val="00F107B8"/>
    <w:rsid w:val="00F44D83"/>
    <w:rsid w:val="00F63625"/>
    <w:rsid w:val="00F76A5A"/>
    <w:rsid w:val="00F83294"/>
    <w:rsid w:val="00F86638"/>
    <w:rsid w:val="00FC3980"/>
    <w:rsid w:val="00FC455D"/>
    <w:rsid w:val="0ADB4D51"/>
    <w:rsid w:val="0DA62760"/>
    <w:rsid w:val="0ED01102"/>
    <w:rsid w:val="2D336DC0"/>
    <w:rsid w:val="3D726E64"/>
    <w:rsid w:val="3FF10E51"/>
    <w:rsid w:val="42711BFF"/>
    <w:rsid w:val="5FC87F58"/>
    <w:rsid w:val="64495D23"/>
    <w:rsid w:val="65EE2417"/>
    <w:rsid w:val="754C0A7C"/>
    <w:rsid w:val="79D87432"/>
    <w:rsid w:val="7F632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脚 字符"/>
    <w:basedOn w:val="8"/>
    <w:link w:val="4"/>
    <w:qFormat/>
    <w:uiPriority w:val="99"/>
    <w:rPr>
      <w:sz w:val="18"/>
      <w:szCs w:val="18"/>
    </w:rPr>
  </w:style>
  <w:style w:type="character" w:customStyle="1" w:styleId="10">
    <w:name w:val="页眉 字符"/>
    <w:basedOn w:val="8"/>
    <w:link w:val="5"/>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字符"/>
    <w:basedOn w:val="8"/>
    <w:link w:val="2"/>
    <w:semiHidden/>
    <w:qFormat/>
    <w:uiPriority w:val="99"/>
  </w:style>
  <w:style w:type="character" w:customStyle="1" w:styleId="13">
    <w:name w:val="批注框文本 字符"/>
    <w:basedOn w:val="8"/>
    <w:link w:val="3"/>
    <w:semiHidden/>
    <w:qFormat/>
    <w:uiPriority w:val="99"/>
    <w:rPr>
      <w:sz w:val="18"/>
      <w:szCs w:val="18"/>
    </w:rPr>
  </w:style>
  <w:style w:type="paragraph" w:customStyle="1" w:styleId="14">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5">
    <w:name w:val="小标题"/>
    <w:basedOn w:val="1"/>
    <w:qFormat/>
    <w:uiPriority w:val="0"/>
    <w:pPr>
      <w:jc w:val="left"/>
    </w:pPr>
    <w:rPr>
      <w:rFonts w:ascii="黑体" w:hAnsi="黑体" w:eastAsia="黑体" w:cs="黑体"/>
      <w:kern w:val="0"/>
      <w:sz w:val="32"/>
      <w:szCs w:val="32"/>
    </w:rPr>
  </w:style>
  <w:style w:type="paragraph" w:customStyle="1" w:styleId="16">
    <w:name w:val="细则正文"/>
    <w:basedOn w:val="1"/>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8759E-05A2-8740-AC40-6FF0DD584B3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172</Words>
  <Characters>981</Characters>
  <Lines>8</Lines>
  <Paragraphs>2</Paragraphs>
  <TotalTime>2</TotalTime>
  <ScaleCrop>false</ScaleCrop>
  <LinksUpToDate>false</LinksUpToDate>
  <CharactersWithSpaces>1151</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2021-03-04T08:31:00Z</dcterms:created>
  <dc:creator>dell</dc:creator>
  <cp:lastModifiedBy>胥力文</cp:lastModifiedBy>
  <dcterms:modified xsi:type="dcterms:W3CDTF">2021-03-24T05:26:07Z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